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«Методика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789.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ПК-3, ПК-4, ОПК-2, ОПК-3,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коррекционно-</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коррекционно-</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0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методологические основы обучения математике лиц с УО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pPr>
              <w:jc w:val="both"/>
              <w:spacing w:after="0" w:line="240" w:lineRule="auto"/>
              <w:rPr>
                <w:sz w:val="24"/>
                <w:szCs w:val="24"/>
              </w:rPr>
            </w:pPr>
            <w:r>
              <w:rPr>
                <w:rFonts w:ascii="Times New Roman" w:hAnsi="Times New Roman" w:cs="Times New Roman"/>
                <w:color w:val="#000000"/>
                <w:sz w:val="24"/>
                <w:szCs w:val="24"/>
              </w:rPr>
              <w:t> Предмет, цели и задачи обучения математике как</w:t>
            </w:r>
          </w:p>
          <w:p>
            <w:pPr>
              <w:jc w:val="both"/>
              <w:spacing w:after="0" w:line="240" w:lineRule="auto"/>
              <w:rPr>
                <w:sz w:val="24"/>
                <w:szCs w:val="24"/>
              </w:rPr>
            </w:pPr>
            <w:r>
              <w:rPr>
                <w:rFonts w:ascii="Times New Roman" w:hAnsi="Times New Roman" w:cs="Times New Roman"/>
                <w:color w:val="#000000"/>
                <w:sz w:val="24"/>
                <w:szCs w:val="24"/>
              </w:rPr>
              <w:t> отрасли научного знания. Методико-математические и</w:t>
            </w:r>
          </w:p>
          <w:p>
            <w:pPr>
              <w:jc w:val="both"/>
              <w:spacing w:after="0" w:line="240" w:lineRule="auto"/>
              <w:rPr>
                <w:sz w:val="24"/>
                <w:szCs w:val="24"/>
              </w:rPr>
            </w:pPr>
            <w:r>
              <w:rPr>
                <w:rFonts w:ascii="Times New Roman" w:hAnsi="Times New Roman" w:cs="Times New Roman"/>
                <w:color w:val="#000000"/>
                <w:sz w:val="24"/>
                <w:szCs w:val="24"/>
              </w:rPr>
              <w:t> методико-процессуальные основы обучения</w:t>
            </w:r>
          </w:p>
          <w:p>
            <w:pPr>
              <w:jc w:val="both"/>
              <w:spacing w:after="0" w:line="240" w:lineRule="auto"/>
              <w:rPr>
                <w:sz w:val="24"/>
                <w:szCs w:val="24"/>
              </w:rPr>
            </w:pPr>
            <w:r>
              <w:rPr>
                <w:rFonts w:ascii="Times New Roman" w:hAnsi="Times New Roman" w:cs="Times New Roman"/>
                <w:color w:val="#000000"/>
                <w:sz w:val="24"/>
                <w:szCs w:val="24"/>
              </w:rPr>
              <w:t> математике как учебному предмету. Психологические</w:t>
            </w:r>
          </w:p>
          <w:p>
            <w:pPr>
              <w:jc w:val="both"/>
              <w:spacing w:after="0" w:line="240" w:lineRule="auto"/>
              <w:rPr>
                <w:sz w:val="24"/>
                <w:szCs w:val="24"/>
              </w:rPr>
            </w:pPr>
            <w:r>
              <w:rPr>
                <w:rFonts w:ascii="Times New Roman" w:hAnsi="Times New Roman" w:cs="Times New Roman"/>
                <w:color w:val="#000000"/>
                <w:sz w:val="24"/>
                <w:szCs w:val="24"/>
              </w:rPr>
              <w:t> основы обучения математике. Общедидактические и</w:t>
            </w:r>
          </w:p>
          <w:p>
            <w:pPr>
              <w:jc w:val="both"/>
              <w:spacing w:after="0" w:line="240" w:lineRule="auto"/>
              <w:rPr>
                <w:sz w:val="24"/>
                <w:szCs w:val="24"/>
              </w:rPr>
            </w:pPr>
            <w:r>
              <w:rPr>
                <w:rFonts w:ascii="Times New Roman" w:hAnsi="Times New Roman" w:cs="Times New Roman"/>
                <w:color w:val="#000000"/>
                <w:sz w:val="24"/>
                <w:szCs w:val="24"/>
              </w:rPr>
              <w:t> коррекционные принципы обучения математике.</w:t>
            </w:r>
          </w:p>
          <w:p>
            <w:pPr>
              <w:jc w:val="both"/>
              <w:spacing w:after="0" w:line="240" w:lineRule="auto"/>
              <w:rPr>
                <w:sz w:val="24"/>
                <w:szCs w:val="24"/>
              </w:rPr>
            </w:pPr>
            <w:r>
              <w:rPr>
                <w:rFonts w:ascii="Times New Roman" w:hAnsi="Times New Roman" w:cs="Times New Roman"/>
                <w:color w:val="#000000"/>
                <w:sz w:val="24"/>
                <w:szCs w:val="24"/>
              </w:rPr>
              <w:t> Задачи специальной (коррекционной школы) и задачи</w:t>
            </w:r>
          </w:p>
          <w:p>
            <w:pPr>
              <w:jc w:val="both"/>
              <w:spacing w:after="0" w:line="240" w:lineRule="auto"/>
              <w:rPr>
                <w:sz w:val="24"/>
                <w:szCs w:val="24"/>
              </w:rPr>
            </w:pPr>
            <w:r>
              <w:rPr>
                <w:rFonts w:ascii="Times New Roman" w:hAnsi="Times New Roman" w:cs="Times New Roman"/>
                <w:color w:val="#000000"/>
                <w:sz w:val="24"/>
                <w:szCs w:val="24"/>
              </w:rPr>
              <w:t> обучения математике детей с УО. Специфика обучения</w:t>
            </w:r>
          </w:p>
          <w:p>
            <w:pPr>
              <w:jc w:val="both"/>
              <w:spacing w:after="0" w:line="240" w:lineRule="auto"/>
              <w:rPr>
                <w:sz w:val="24"/>
                <w:szCs w:val="24"/>
              </w:rPr>
            </w:pPr>
            <w:r>
              <w:rPr>
                <w:rFonts w:ascii="Times New Roman" w:hAnsi="Times New Roman" w:cs="Times New Roman"/>
                <w:color w:val="#000000"/>
                <w:sz w:val="24"/>
                <w:szCs w:val="24"/>
              </w:rPr>
              <w:t> в школе. Понятие акалькулии и</w:t>
            </w:r>
          </w:p>
          <w:p>
            <w:pPr>
              <w:jc w:val="both"/>
              <w:spacing w:after="0" w:line="240" w:lineRule="auto"/>
              <w:rPr>
                <w:sz w:val="24"/>
                <w:szCs w:val="24"/>
              </w:rPr>
            </w:pPr>
            <w:r>
              <w:rPr>
                <w:rFonts w:ascii="Times New Roman" w:hAnsi="Times New Roman" w:cs="Times New Roman"/>
                <w:color w:val="#000000"/>
                <w:sz w:val="24"/>
                <w:szCs w:val="24"/>
              </w:rPr>
              <w:t> дискалькулии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с нарушениями в умственном развитии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pPr>
              <w:jc w:val="both"/>
              <w:spacing w:after="0" w:line="240" w:lineRule="auto"/>
              <w:rPr>
                <w:sz w:val="24"/>
                <w:szCs w:val="24"/>
              </w:rPr>
            </w:pPr>
            <w:r>
              <w:rPr>
                <w:rFonts w:ascii="Times New Roman" w:hAnsi="Times New Roman" w:cs="Times New Roman"/>
                <w:color w:val="#000000"/>
                <w:sz w:val="24"/>
                <w:szCs w:val="24"/>
              </w:rPr>
              <w:t> математики.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математических знаний, умений и навыков у учащихся школы VIII вида. Педагогическая  диагностика уровня знаний,  умений  и  навыков учащихся начальных классов  по  математике.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коррекционно-развивающей работы с учащимися, имеющими</w:t>
            </w:r>
          </w:p>
          <w:p>
            <w:pPr>
              <w:jc w:val="both"/>
              <w:spacing w:after="0" w:line="240" w:lineRule="auto"/>
              <w:rPr>
                <w:sz w:val="24"/>
                <w:szCs w:val="24"/>
              </w:rPr>
            </w:pPr>
            <w:r>
              <w:rPr>
                <w:rFonts w:ascii="Times New Roman" w:hAnsi="Times New Roman" w:cs="Times New Roman"/>
                <w:color w:val="#000000"/>
                <w:sz w:val="24"/>
                <w:szCs w:val="24"/>
              </w:rPr>
              <w:t> 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начальной школе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pPr>
              <w:jc w:val="both"/>
              <w:spacing w:after="0" w:line="240" w:lineRule="auto"/>
              <w:rPr>
                <w:sz w:val="24"/>
                <w:szCs w:val="24"/>
              </w:rPr>
            </w:pPr>
            <w:r>
              <w:rPr>
                <w:rFonts w:ascii="Times New Roman" w:hAnsi="Times New Roman" w:cs="Times New Roman"/>
                <w:color w:val="#000000"/>
                <w:sz w:val="24"/>
                <w:szCs w:val="24"/>
              </w:rPr>
              <w:t> 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pPr>
              <w:jc w:val="both"/>
              <w:spacing w:after="0" w:line="240" w:lineRule="auto"/>
              <w:rPr>
                <w:sz w:val="24"/>
                <w:szCs w:val="24"/>
              </w:rPr>
            </w:pPr>
            <w:r>
              <w:rPr>
                <w:rFonts w:ascii="Times New Roman" w:hAnsi="Times New Roman" w:cs="Times New Roman"/>
                <w:color w:val="#000000"/>
                <w:sz w:val="24"/>
                <w:szCs w:val="24"/>
              </w:rPr>
              <w:t> 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pPr>
              <w:jc w:val="both"/>
              <w:spacing w:after="0" w:line="240" w:lineRule="auto"/>
              <w:rPr>
                <w:sz w:val="24"/>
                <w:szCs w:val="24"/>
              </w:rPr>
            </w:pPr>
            <w:r>
              <w:rPr>
                <w:rFonts w:ascii="Times New Roman" w:hAnsi="Times New Roman" w:cs="Times New Roman"/>
                <w:color w:val="#000000"/>
                <w:sz w:val="24"/>
                <w:szCs w:val="24"/>
              </w:rPr>
              <w:t> волевой сферы. Роль различных видов текущей и итоговой проверки знаний и их оценка.</w:t>
            </w:r>
          </w:p>
          <w:p>
            <w:pPr>
              <w:jc w:val="both"/>
              <w:spacing w:after="0" w:line="240" w:lineRule="auto"/>
              <w:rPr>
                <w:sz w:val="24"/>
                <w:szCs w:val="24"/>
              </w:rPr>
            </w:pPr>
            <w:r>
              <w:rPr>
                <w:rFonts w:ascii="Times New Roman" w:hAnsi="Times New Roman" w:cs="Times New Roman"/>
                <w:color w:val="#000000"/>
                <w:sz w:val="24"/>
                <w:szCs w:val="24"/>
              </w:rPr>
              <w:t> Особенности  урока  математики  в  школе  для  умственно  отсталых учащихся.</w:t>
            </w:r>
          </w:p>
          <w:p>
            <w:pPr>
              <w:jc w:val="both"/>
              <w:spacing w:after="0" w:line="240" w:lineRule="auto"/>
              <w:rPr>
                <w:sz w:val="24"/>
                <w:szCs w:val="24"/>
              </w:rPr>
            </w:pPr>
            <w:r>
              <w:rPr>
                <w:rFonts w:ascii="Times New Roman" w:hAnsi="Times New Roman" w:cs="Times New Roman"/>
                <w:color w:val="#000000"/>
                <w:sz w:val="24"/>
                <w:szCs w:val="24"/>
              </w:rPr>
              <w:t> Разработка  коррекционно-развивающего  занятия  для  детей младшего школьного возраста с игнтеллектуальными нарушениями.</w:t>
            </w:r>
          </w:p>
        </w:tc>
      </w:tr>
      <w:tr>
        <w:trPr>
          <w:trHeight w:hRule="exact" w:val="298.55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обучения предмету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«Математика» детей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Пропедевтика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Организация и содержание пропедевтического периода</w:t>
            </w:r>
          </w:p>
          <w:p>
            <w:pPr>
              <w:jc w:val="both"/>
              <w:spacing w:after="0" w:line="240" w:lineRule="auto"/>
              <w:rPr>
                <w:sz w:val="24"/>
                <w:szCs w:val="24"/>
              </w:rPr>
            </w:pPr>
            <w:r>
              <w:rPr>
                <w:rFonts w:ascii="Times New Roman" w:hAnsi="Times New Roman" w:cs="Times New Roman"/>
                <w:color w:val="#000000"/>
                <w:sz w:val="24"/>
                <w:szCs w:val="24"/>
              </w:rPr>
              <w:t> в специальных (коррекционных) ОУ. Межпредметные</w:t>
            </w:r>
          </w:p>
          <w:p>
            <w:pPr>
              <w:jc w:val="both"/>
              <w:spacing w:after="0" w:line="240" w:lineRule="auto"/>
              <w:rPr>
                <w:sz w:val="24"/>
                <w:szCs w:val="24"/>
              </w:rPr>
            </w:pPr>
            <w:r>
              <w:rPr>
                <w:rFonts w:ascii="Times New Roman" w:hAnsi="Times New Roman" w:cs="Times New Roman"/>
                <w:color w:val="#000000"/>
                <w:sz w:val="24"/>
                <w:szCs w:val="24"/>
              </w:rPr>
              <w:t> 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pPr>
              <w:jc w:val="both"/>
              <w:spacing w:after="0" w:line="240" w:lineRule="auto"/>
              <w:rPr>
                <w:sz w:val="24"/>
                <w:szCs w:val="24"/>
              </w:rPr>
            </w:pPr>
            <w:r>
              <w:rPr>
                <w:rFonts w:ascii="Times New Roman" w:hAnsi="Times New Roman" w:cs="Times New Roman"/>
                <w:color w:val="#000000"/>
                <w:sz w:val="24"/>
                <w:szCs w:val="24"/>
              </w:rPr>
              <w:t> Программно-методическое обеспечение обучения</w:t>
            </w:r>
          </w:p>
          <w:p>
            <w:pPr>
              <w:jc w:val="both"/>
              <w:spacing w:after="0" w:line="240" w:lineRule="auto"/>
              <w:rPr>
                <w:sz w:val="24"/>
                <w:szCs w:val="24"/>
              </w:rPr>
            </w:pPr>
            <w:r>
              <w:rPr>
                <w:rFonts w:ascii="Times New Roman" w:hAnsi="Times New Roman" w:cs="Times New Roman"/>
                <w:color w:val="#000000"/>
                <w:sz w:val="24"/>
                <w:szCs w:val="24"/>
              </w:rPr>
              <w:t> математике. Авторский и содержательный аспект</w:t>
            </w:r>
          </w:p>
          <w:p>
            <w:pPr>
              <w:jc w:val="both"/>
              <w:spacing w:after="0" w:line="240" w:lineRule="auto"/>
              <w:rPr>
                <w:sz w:val="24"/>
                <w:szCs w:val="24"/>
              </w:rPr>
            </w:pPr>
            <w:r>
              <w:rPr>
                <w:rFonts w:ascii="Times New Roman" w:hAnsi="Times New Roman" w:cs="Times New Roman"/>
                <w:color w:val="#000000"/>
                <w:sz w:val="24"/>
                <w:szCs w:val="24"/>
              </w:rPr>
              <w:t> программного обеспечения преподавания математики в</w:t>
            </w:r>
          </w:p>
          <w:p>
            <w:pPr>
              <w:jc w:val="both"/>
              <w:spacing w:after="0" w:line="240" w:lineRule="auto"/>
              <w:rPr>
                <w:sz w:val="24"/>
                <w:szCs w:val="24"/>
              </w:rPr>
            </w:pPr>
            <w:r>
              <w:rPr>
                <w:rFonts w:ascii="Times New Roman" w:hAnsi="Times New Roman" w:cs="Times New Roman"/>
                <w:color w:val="#000000"/>
                <w:sz w:val="24"/>
                <w:szCs w:val="24"/>
              </w:rPr>
              <w:t> начальной школе для детей с УО. Основные</w:t>
            </w:r>
          </w:p>
          <w:p>
            <w:pPr>
              <w:jc w:val="both"/>
              <w:spacing w:after="0" w:line="240" w:lineRule="auto"/>
              <w:rPr>
                <w:sz w:val="24"/>
                <w:szCs w:val="24"/>
              </w:rPr>
            </w:pPr>
            <w:r>
              <w:rPr>
                <w:rFonts w:ascii="Times New Roman" w:hAnsi="Times New Roman" w:cs="Times New Roman"/>
                <w:color w:val="#000000"/>
                <w:sz w:val="24"/>
                <w:szCs w:val="24"/>
              </w:rPr>
              <w:t> положения, разделы. Требования к знаниям и умениям</w:t>
            </w:r>
          </w:p>
          <w:p>
            <w:pPr>
              <w:jc w:val="both"/>
              <w:spacing w:after="0" w:line="240" w:lineRule="auto"/>
              <w:rPr>
                <w:sz w:val="24"/>
                <w:szCs w:val="24"/>
              </w:rPr>
            </w:pPr>
            <w:r>
              <w:rPr>
                <w:rFonts w:ascii="Times New Roman" w:hAnsi="Times New Roman" w:cs="Times New Roman"/>
                <w:color w:val="#000000"/>
                <w:sz w:val="24"/>
                <w:szCs w:val="24"/>
              </w:rPr>
              <w:t>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методологические основы обучения математике лиц с УО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усвоения  математических  знаний  и  навыков учащимися</w:t>
            </w:r>
          </w:p>
          <w:p>
            <w:pPr>
              <w:jc w:val="both"/>
              <w:spacing w:after="0" w:line="240" w:lineRule="auto"/>
              <w:rPr>
                <w:sz w:val="24"/>
                <w:szCs w:val="24"/>
              </w:rPr>
            </w:pPr>
            <w:r>
              <w:rPr>
                <w:rFonts w:ascii="Times New Roman" w:hAnsi="Times New Roman" w:cs="Times New Roman"/>
                <w:color w:val="#000000"/>
                <w:sz w:val="24"/>
                <w:szCs w:val="24"/>
              </w:rPr>
              <w:t> 2.	Дидактические принципы. Реализация дидактических принципов обучения детей с интеллектуальными нарушениями в процессе изучения математики</w:t>
            </w:r>
          </w:p>
          <w:p>
            <w:pPr>
              <w:jc w:val="both"/>
              <w:spacing w:after="0" w:line="240" w:lineRule="auto"/>
              <w:rPr>
                <w:sz w:val="24"/>
                <w:szCs w:val="24"/>
              </w:rPr>
            </w:pPr>
            <w:r>
              <w:rPr>
                <w:rFonts w:ascii="Times New Roman" w:hAnsi="Times New Roman" w:cs="Times New Roman"/>
                <w:color w:val="#000000"/>
                <w:sz w:val="24"/>
                <w:szCs w:val="24"/>
              </w:rPr>
              <w:t> 3.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математических понятий у учащихся младших классов школы VII и VIII вида.</w:t>
            </w:r>
          </w:p>
          <w:p>
            <w:pPr>
              <w:jc w:val="both"/>
              <w:spacing w:after="0" w:line="240" w:lineRule="auto"/>
              <w:rPr>
                <w:sz w:val="24"/>
                <w:szCs w:val="24"/>
              </w:rPr>
            </w:pPr>
            <w:r>
              <w:rPr>
                <w:rFonts w:ascii="Times New Roman" w:hAnsi="Times New Roman" w:cs="Times New Roman"/>
                <w:color w:val="#000000"/>
                <w:sz w:val="24"/>
                <w:szCs w:val="24"/>
              </w:rPr>
              <w:t> 5.	Диагностика  уровня  элементарных  математических  знаний  и умений к моменту поступления в школу.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начальной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конспект занятия по  математике  для детей  младшего школьного  возраста, имеющих  интеллектуальные нарушения и сделать самоанализ</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и их свойства</w:t>
            </w:r>
          </w:p>
          <w:p>
            <w:pPr>
              <w:jc w:val="both"/>
              <w:spacing w:after="0" w:line="240" w:lineRule="auto"/>
              <w:rPr>
                <w:sz w:val="24"/>
                <w:szCs w:val="24"/>
              </w:rPr>
            </w:pPr>
            <w:r>
              <w:rPr>
                <w:rFonts w:ascii="Times New Roman" w:hAnsi="Times New Roman" w:cs="Times New Roman"/>
                <w:color w:val="#000000"/>
                <w:sz w:val="24"/>
                <w:szCs w:val="24"/>
              </w:rPr>
              <w:t> 	Текстовые арифметические задачи.</w:t>
            </w:r>
          </w:p>
          <w:p>
            <w:pPr>
              <w:jc w:val="both"/>
              <w:spacing w:after="0" w:line="240" w:lineRule="auto"/>
              <w:rPr>
                <w:sz w:val="24"/>
                <w:szCs w:val="24"/>
              </w:rPr>
            </w:pPr>
            <w:r>
              <w:rPr>
                <w:rFonts w:ascii="Times New Roman" w:hAnsi="Times New Roman" w:cs="Times New Roman"/>
                <w:color w:val="#000000"/>
                <w:sz w:val="24"/>
                <w:szCs w:val="24"/>
              </w:rPr>
              <w:t> 	Алгебраический материал.</w:t>
            </w:r>
          </w:p>
          <w:p>
            <w:pPr>
              <w:jc w:val="both"/>
              <w:spacing w:after="0" w:line="240" w:lineRule="auto"/>
              <w:rPr>
                <w:sz w:val="24"/>
                <w:szCs w:val="24"/>
              </w:rPr>
            </w:pPr>
            <w:r>
              <w:rPr>
                <w:rFonts w:ascii="Times New Roman" w:hAnsi="Times New Roman" w:cs="Times New Roman"/>
                <w:color w:val="#000000"/>
                <w:sz w:val="24"/>
                <w:szCs w:val="24"/>
              </w:rPr>
              <w:t> 	Геометрический материал.</w:t>
            </w:r>
          </w:p>
          <w:p>
            <w:pPr>
              <w:jc w:val="both"/>
              <w:spacing w:after="0" w:line="240" w:lineRule="auto"/>
              <w:rPr>
                <w:sz w:val="24"/>
                <w:szCs w:val="24"/>
              </w:rPr>
            </w:pPr>
            <w:r>
              <w:rPr>
                <w:rFonts w:ascii="Times New Roman" w:hAnsi="Times New Roman" w:cs="Times New Roman"/>
                <w:color w:val="#000000"/>
                <w:sz w:val="24"/>
                <w:szCs w:val="24"/>
              </w:rPr>
              <w:t> 	Величины.</w:t>
            </w:r>
          </w:p>
          <w:p>
            <w:pPr>
              <w:jc w:val="both"/>
              <w:spacing w:after="0" w:line="240" w:lineRule="auto"/>
              <w:rPr>
                <w:sz w:val="24"/>
                <w:szCs w:val="24"/>
              </w:rPr>
            </w:pPr>
            <w:r>
              <w:rPr>
                <w:rFonts w:ascii="Times New Roman" w:hAnsi="Times New Roman" w:cs="Times New Roman"/>
                <w:color w:val="#000000"/>
                <w:sz w:val="24"/>
                <w:szCs w:val="24"/>
              </w:rPr>
              <w:t> 	Доли и дроби.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обучения предмету</w:t>
            </w:r>
          </w:p>
          <w:p>
            <w:pPr>
              <w:jc w:val="center"/>
              <w:spacing w:after="0" w:line="240" w:lineRule="auto"/>
              <w:rPr>
                <w:sz w:val="24"/>
                <w:szCs w:val="24"/>
              </w:rPr>
            </w:pPr>
            <w:r>
              <w:rPr>
                <w:rFonts w:ascii="Times New Roman" w:hAnsi="Times New Roman" w:cs="Times New Roman"/>
                <w:b/>
                <w:color w:val="#000000"/>
                <w:sz w:val="24"/>
                <w:szCs w:val="24"/>
              </w:rPr>
              <w:t> «Математика» детей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pPr>
              <w:jc w:val="both"/>
              <w:spacing w:after="0" w:line="240" w:lineRule="auto"/>
              <w:rPr>
                <w:sz w:val="24"/>
                <w:szCs w:val="24"/>
              </w:rPr>
            </w:pPr>
            <w:r>
              <w:rPr>
                <w:rFonts w:ascii="Times New Roman" w:hAnsi="Times New Roman" w:cs="Times New Roman"/>
                <w:color w:val="#000000"/>
                <w:sz w:val="24"/>
                <w:szCs w:val="24"/>
              </w:rPr>
              <w:t> Каковы принципы	построения	программы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обучения математике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использования методов и средств обучения математике, в том числе в пропедевтический период в спец.школе.</w:t>
            </w:r>
          </w:p>
          <w:p>
            <w:pPr>
              <w:jc w:val="both"/>
              <w:spacing w:after="0" w:line="240" w:lineRule="auto"/>
              <w:rPr>
                <w:sz w:val="24"/>
                <w:szCs w:val="24"/>
              </w:rPr>
            </w:pPr>
            <w:r>
              <w:rPr>
                <w:rFonts w:ascii="Times New Roman" w:hAnsi="Times New Roman" w:cs="Times New Roman"/>
                <w:color w:val="#000000"/>
                <w:sz w:val="24"/>
                <w:szCs w:val="24"/>
              </w:rPr>
              <w:t> 2.	Пропедевтика обучения математике в коррекционной школе :цели, задачи общие и частные подходы.</w:t>
            </w:r>
          </w:p>
          <w:p>
            <w:pPr>
              <w:jc w:val="both"/>
              <w:spacing w:after="0" w:line="240" w:lineRule="auto"/>
              <w:rPr>
                <w:sz w:val="24"/>
                <w:szCs w:val="24"/>
              </w:rPr>
            </w:pPr>
            <w:r>
              <w:rPr>
                <w:rFonts w:ascii="Times New Roman" w:hAnsi="Times New Roman" w:cs="Times New Roman"/>
                <w:color w:val="#000000"/>
                <w:sz w:val="24"/>
                <w:szCs w:val="24"/>
              </w:rPr>
              <w:t> 3.	Примеры работы над формированием понятий длинный-короткий, длиннее, короче, равные, разные по длине.</w:t>
            </w:r>
          </w:p>
          <w:p>
            <w:pPr>
              <w:jc w:val="both"/>
              <w:spacing w:after="0" w:line="240" w:lineRule="auto"/>
              <w:rPr>
                <w:sz w:val="24"/>
                <w:szCs w:val="24"/>
              </w:rPr>
            </w:pPr>
            <w:r>
              <w:rPr>
                <w:rFonts w:ascii="Times New Roman" w:hAnsi="Times New Roman" w:cs="Times New Roman"/>
                <w:color w:val="#000000"/>
                <w:sz w:val="24"/>
                <w:szCs w:val="24"/>
              </w:rPr>
              <w:t> 4.	Примеры работы над формированием понятий тяжелый-легкий, тяжелее-легче и развитием пространственных представлений (каких именно).</w:t>
            </w:r>
          </w:p>
          <w:p>
            <w:pPr>
              <w:jc w:val="both"/>
              <w:spacing w:after="0" w:line="240" w:lineRule="auto"/>
              <w:rPr>
                <w:sz w:val="24"/>
                <w:szCs w:val="24"/>
              </w:rPr>
            </w:pPr>
            <w:r>
              <w:rPr>
                <w:rFonts w:ascii="Times New Roman" w:hAnsi="Times New Roman" w:cs="Times New Roman"/>
                <w:color w:val="#000000"/>
                <w:sz w:val="24"/>
                <w:szCs w:val="24"/>
              </w:rPr>
              <w:t> 5.	Примеры работы над развитием количественных представлений (каких именно).</w:t>
            </w:r>
          </w:p>
          <w:p>
            <w:pPr>
              <w:jc w:val="both"/>
              <w:spacing w:after="0" w:line="240" w:lineRule="auto"/>
              <w:rPr>
                <w:sz w:val="24"/>
                <w:szCs w:val="24"/>
              </w:rPr>
            </w:pPr>
            <w:r>
              <w:rPr>
                <w:rFonts w:ascii="Times New Roman" w:hAnsi="Times New Roman" w:cs="Times New Roman"/>
                <w:color w:val="#000000"/>
                <w:sz w:val="24"/>
                <w:szCs w:val="24"/>
              </w:rPr>
              <w:t> 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коррекционно-</w:t>
            </w:r>
          </w:p>
          <w:p>
            <w:pPr>
              <w:jc w:val="center"/>
              <w:spacing w:after="0" w:line="240" w:lineRule="auto"/>
              <w:rPr>
                <w:sz w:val="24"/>
                <w:szCs w:val="24"/>
              </w:rPr>
            </w:pPr>
            <w:r>
              <w:rPr>
                <w:rFonts w:ascii="Times New Roman" w:hAnsi="Times New Roman" w:cs="Times New Roman"/>
                <w:b/>
                <w:color w:val="#000000"/>
                <w:sz w:val="24"/>
                <w:szCs w:val="24"/>
              </w:rPr>
              <w:t> педагогического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вид урока математики, назвать его основные этапы, цель(и) и задачи каждого из них. Выделить, какие методы и</w:t>
            </w:r>
          </w:p>
          <w:p>
            <w:pPr>
              <w:jc w:val="both"/>
              <w:spacing w:after="0" w:line="240" w:lineRule="auto"/>
              <w:rPr>
                <w:sz w:val="24"/>
                <w:szCs w:val="24"/>
              </w:rPr>
            </w:pPr>
            <w:r>
              <w:rPr>
                <w:rFonts w:ascii="Times New Roman" w:hAnsi="Times New Roman" w:cs="Times New Roman"/>
                <w:color w:val="#000000"/>
                <w:sz w:val="24"/>
                <w:szCs w:val="24"/>
              </w:rPr>
              <w:t> приемы, наглядные пособия (виды) используются (или могут использоваться) на данном уроке.</w:t>
            </w:r>
          </w:p>
          <w:p>
            <w:pPr>
              <w:jc w:val="both"/>
              <w:spacing w:after="0" w:line="240" w:lineRule="auto"/>
              <w:rPr>
                <w:sz w:val="24"/>
                <w:szCs w:val="24"/>
              </w:rPr>
            </w:pPr>
            <w:r>
              <w:rPr>
                <w:rFonts w:ascii="Times New Roman" w:hAnsi="Times New Roman" w:cs="Times New Roman"/>
                <w:color w:val="#000000"/>
                <w:sz w:val="24"/>
                <w:szCs w:val="24"/>
              </w:rPr>
              <w:t> Оборудование: методические разработки (конспект) урока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обучения математике.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 1. Провести методический анализ урока математики</w:t>
            </w:r>
          </w:p>
          <w:p>
            <w:pPr>
              <w:jc w:val="both"/>
              <w:spacing w:after="0" w:line="240" w:lineRule="auto"/>
              <w:rPr>
                <w:sz w:val="24"/>
                <w:szCs w:val="24"/>
              </w:rPr>
            </w:pPr>
            <w:r>
              <w:rPr>
                <w:rFonts w:ascii="Times New Roman" w:hAnsi="Times New Roman" w:cs="Times New Roman"/>
                <w:color w:val="#000000"/>
                <w:sz w:val="24"/>
                <w:szCs w:val="24"/>
              </w:rPr>
              <w:t> Задание № 2. Провести психолого-педагогический анализ урока математики.</w:t>
            </w:r>
          </w:p>
          <w:p>
            <w:pPr>
              <w:jc w:val="both"/>
              <w:spacing w:after="0" w:line="240" w:lineRule="auto"/>
              <w:rPr>
                <w:sz w:val="24"/>
                <w:szCs w:val="24"/>
              </w:rPr>
            </w:pPr>
            <w:r>
              <w:rPr>
                <w:rFonts w:ascii="Times New Roman" w:hAnsi="Times New Roman" w:cs="Times New Roman"/>
                <w:color w:val="#000000"/>
                <w:sz w:val="24"/>
                <w:szCs w:val="24"/>
              </w:rPr>
              <w:t> Задание № 3. Провести системный анализ урока.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2024-2025_ФГОС3++2024_Бак-ЗФО-СДО(Олигоф)(24)_plx_Методика обучения математике</dc:title>
  <dc:creator>FastReport.NET</dc:creator>
</cp:coreProperties>
</file>